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E8699" w14:textId="77777777" w:rsidR="005A32E0" w:rsidRDefault="005A32E0" w:rsidP="005A32E0">
      <w:pPr>
        <w:spacing w:after="160" w:line="25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Schede informative su singole discipline</w:t>
      </w:r>
    </w:p>
    <w:p w14:paraId="79EE59FF" w14:textId="77777777" w:rsidR="005A32E0" w:rsidRDefault="005A32E0" w:rsidP="005A32E0">
      <w:pPr>
        <w:spacing w:after="160" w:line="254" w:lineRule="auto"/>
        <w:jc w:val="center"/>
        <w:rPr>
          <w:rFonts w:ascii="Times New Roman" w:hAnsi="Times New Roman"/>
          <w:bCs/>
        </w:rPr>
      </w:pPr>
    </w:p>
    <w:p w14:paraId="47FF7CBE" w14:textId="77777777" w:rsidR="005A32E0" w:rsidRDefault="005A32E0" w:rsidP="005A32E0">
      <w:pPr>
        <w:keepNext/>
        <w:spacing w:before="240" w:after="60" w:line="254" w:lineRule="auto"/>
        <w:outlineLvl w:val="0"/>
        <w:rPr>
          <w:rFonts w:ascii="Times New Roman" w:eastAsia="Times New Roman" w:hAnsi="Times New Roman"/>
          <w:bCs/>
          <w:kern w:val="32"/>
        </w:rPr>
      </w:pPr>
      <w:r>
        <w:rPr>
          <w:rFonts w:ascii="Times New Roman" w:eastAsia="Times New Roman" w:hAnsi="Times New Roman"/>
          <w:bCs/>
          <w:kern w:val="32"/>
        </w:rPr>
        <w:t>INDICAZIONI SU DISCIPLINE</w:t>
      </w:r>
    </w:p>
    <w:p w14:paraId="2F6152E0" w14:textId="77777777" w:rsidR="005A32E0" w:rsidRDefault="005A32E0" w:rsidP="005A32E0">
      <w:pPr>
        <w:spacing w:after="160" w:line="254" w:lineRule="auto"/>
        <w:rPr>
          <w:rFonts w:ascii="Times New Roman" w:hAnsi="Times New Roman"/>
          <w:b/>
          <w:bCs/>
          <w:sz w:val="28"/>
          <w:szCs w:val="28"/>
        </w:rPr>
      </w:pPr>
    </w:p>
    <w:p w14:paraId="43B52AA6" w14:textId="77777777" w:rsidR="005A32E0" w:rsidRDefault="005A32E0" w:rsidP="005A32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</w:rPr>
      </w:pPr>
      <w:bookmarkStart w:id="0" w:name="__RefHeading___Toc820_3744375894"/>
      <w:bookmarkEnd w:id="0"/>
      <w:r>
        <w:rPr>
          <w:rFonts w:ascii="Times New Roman" w:eastAsia="Times New Roman" w:hAnsi="Times New Roman"/>
        </w:rPr>
        <w:tab/>
        <w:t xml:space="preserve"> </w:t>
      </w:r>
    </w:p>
    <w:tbl>
      <w:tblPr>
        <w:tblW w:w="9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6"/>
        <w:gridCol w:w="6379"/>
      </w:tblGrid>
      <w:tr w:rsidR="005A32E0" w14:paraId="661745C2" w14:textId="77777777" w:rsidTr="005A32E0">
        <w:trPr>
          <w:trHeight w:val="5209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3202E4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 xml:space="preserve"> COMPETENZE RAGGIUNTE alla fine dell’anno per la disciplina:</w:t>
            </w:r>
          </w:p>
          <w:p w14:paraId="51A59D79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TECNICHE DI COMUNICAZIONE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59971115" w14:textId="77777777" w:rsidR="005A32E0" w:rsidRDefault="005A32E0" w:rsidP="007158EA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Individuare e utilizzare gli strumenti di</w:t>
            </w:r>
            <w:r>
              <w:rPr>
                <w:rFonts w:ascii="Arial" w:eastAsia="SimSun" w:hAnsi="Arial" w:cs="Arial"/>
                <w:bCs/>
                <w:i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 xml:space="preserve">comunicazione e di team working più appropriati per intervenire nei contesti organizzativi e professionali di riferimento </w:t>
            </w:r>
          </w:p>
          <w:p w14:paraId="13774293" w14:textId="77777777" w:rsidR="005A32E0" w:rsidRDefault="005A32E0" w:rsidP="007158EA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Essere sensibili alle differenze di cultura e di atteggiamento dei destinatari, al fine di fornire un servizio il più possibile personalizzato</w:t>
            </w:r>
          </w:p>
          <w:p w14:paraId="6141C31D" w14:textId="77777777" w:rsidR="005A32E0" w:rsidRDefault="005A32E0" w:rsidP="007158EA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Sviluppare ed esprimere le proprie qualità di relazione, comunicazione, ascolto, cooperazione e senso di responsabilità nell’esercizio del proprio ruolo</w:t>
            </w:r>
          </w:p>
          <w:p w14:paraId="32E714D7" w14:textId="77777777" w:rsidR="005A32E0" w:rsidRDefault="005A32E0" w:rsidP="007158EA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Acquisire la consapevolezza della diversificazione dei bisogni del cliente</w:t>
            </w:r>
          </w:p>
        </w:tc>
      </w:tr>
      <w:tr w:rsidR="005A32E0" w14:paraId="77486D7D" w14:textId="77777777" w:rsidTr="005A32E0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DC1286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CONOSCENZE o CONTENUTI TRATTATI:</w:t>
            </w:r>
          </w:p>
          <w:p w14:paraId="06BF5981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Times New Roman" w:eastAsia="SimSun" w:hAnsi="Times New Roman"/>
                <w:color w:val="000000"/>
                <w:kern w:val="2"/>
                <w:sz w:val="28"/>
                <w:szCs w:val="28"/>
                <w:u w:val="single"/>
                <w:lang w:eastAsia="zh-CN" w:bidi="hi-IN"/>
              </w:rPr>
              <w:t>(</w:t>
            </w:r>
            <w:r w:rsidR="00A204C1">
              <w:rPr>
                <w:rFonts w:ascii="Times New Roman" w:eastAsia="SimSun" w:hAnsi="Times New Roman"/>
                <w:color w:val="000000"/>
                <w:kern w:val="2"/>
                <w:sz w:val="28"/>
                <w:szCs w:val="28"/>
                <w:u w:val="single"/>
                <w:lang w:eastAsia="zh-CN" w:bidi="hi-IN"/>
              </w:rPr>
              <w:t xml:space="preserve">anche </w:t>
            </w:r>
            <w:r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attraverso UDA e NUCLEI TEMATICI)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75D94D87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1 I principi della comunicazione</w:t>
            </w:r>
          </w:p>
          <w:p w14:paraId="2C801F91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2 La comunicazione verbale, paraverbale e non verbale</w:t>
            </w:r>
          </w:p>
          <w:p w14:paraId="4A47CA54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3 La comunicazione efficace</w:t>
            </w:r>
          </w:p>
          <w:p w14:paraId="3F29CB63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4 La comunicazione in azienda</w:t>
            </w:r>
          </w:p>
          <w:p w14:paraId="416C6AC2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/>
                <w:i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/>
                <w:i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</w:tc>
      </w:tr>
      <w:tr w:rsidR="005A32E0" w14:paraId="5522407A" w14:textId="77777777" w:rsidTr="005A32E0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309D4C85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ABILITA’: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D8D6AC0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1 Individuare gli elementi della comunicazione </w:t>
            </w:r>
          </w:p>
          <w:p w14:paraId="554518D2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  Riconoscere il rapporto tra comportamento e comunicazione</w:t>
            </w:r>
          </w:p>
          <w:p w14:paraId="56D61EA8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6F630239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2  Riconoscere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i linguaggi verbale, paraverbale e non verbale</w:t>
            </w:r>
          </w:p>
          <w:p w14:paraId="445933D3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   Acquisire consapevolezza dei meccanismi che regolano il processo comunicativo</w:t>
            </w:r>
          </w:p>
          <w:p w14:paraId="2D260DE1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27EF3D9E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>3 Individuare gli elementi fondamentali che rendono efficace una comunicazione</w:t>
            </w:r>
          </w:p>
          <w:p w14:paraId="201B97D0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   Riconoscere i fattori che stimolano “l’ascolto attivo” e le tecniche per imparare a comunicare</w:t>
            </w:r>
          </w:p>
          <w:p w14:paraId="5D9BCFFE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</w:p>
          <w:p w14:paraId="3D871D6A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lastRenderedPageBreak/>
              <w:t>4 Riconoscere tecniche e strategie della comunicazione interna ed esterna all’impresa</w:t>
            </w:r>
          </w:p>
          <w:p w14:paraId="038032B2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   Individuare linguaggi funzionali ai contesti comunicativi</w:t>
            </w:r>
          </w:p>
          <w:p w14:paraId="68257934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</w:t>
            </w:r>
          </w:p>
          <w:p w14:paraId="00A7B5FB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 </w:t>
            </w:r>
          </w:p>
          <w:p w14:paraId="3CFD1BDA" w14:textId="77777777" w:rsidR="005A32E0" w:rsidRDefault="005A32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u w:val="single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u w:val="single"/>
                <w:lang w:eastAsia="it-IT"/>
              </w:rPr>
              <w:t xml:space="preserve">  </w:t>
            </w:r>
          </w:p>
        </w:tc>
      </w:tr>
      <w:tr w:rsidR="005A32E0" w14:paraId="43552608" w14:textId="77777777" w:rsidTr="005A32E0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1E107C29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lastRenderedPageBreak/>
              <w:t>METODOLOGIE: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797803B0" w14:textId="77777777" w:rsidR="005A32E0" w:rsidRDefault="005A32E0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Lezione frontale</w:t>
            </w:r>
          </w:p>
          <w:p w14:paraId="0C326C21" w14:textId="77777777" w:rsidR="005A32E0" w:rsidRDefault="005A32E0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dibattito aperto per favorire un atteggiamento critico e propositivo</w:t>
            </w:r>
          </w:p>
          <w:p w14:paraId="056AE4C4" w14:textId="77777777" w:rsidR="005A32E0" w:rsidRDefault="005A32E0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brainstorming</w:t>
            </w:r>
          </w:p>
          <w:p w14:paraId="70D6DE36" w14:textId="77777777" w:rsidR="005A32E0" w:rsidRDefault="005A32E0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lavoro individuale</w:t>
            </w:r>
          </w:p>
          <w:p w14:paraId="7E17A17E" w14:textId="77777777" w:rsidR="005A32E0" w:rsidRDefault="005A32E0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lavoro di gruppo</w:t>
            </w:r>
          </w:p>
          <w:p w14:paraId="6B9B63EB" w14:textId="77777777" w:rsidR="005A32E0" w:rsidRDefault="005A32E0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kern w:val="2"/>
                <w:sz w:val="24"/>
                <w:szCs w:val="24"/>
                <w:u w:val="single"/>
                <w:lang w:eastAsia="ar-SA"/>
              </w:rPr>
            </w:pPr>
            <w:r>
              <w:rPr>
                <w:rFonts w:ascii="Arial" w:eastAsia="Times New Roman" w:hAnsi="Arial" w:cs="Arial"/>
                <w:i/>
                <w:kern w:val="2"/>
                <w:sz w:val="24"/>
                <w:szCs w:val="24"/>
                <w:u w:val="single"/>
                <w:lang w:eastAsia="ar-SA"/>
              </w:rPr>
              <w:t xml:space="preserve"> </w:t>
            </w:r>
          </w:p>
        </w:tc>
      </w:tr>
      <w:tr w:rsidR="005A32E0" w14:paraId="79ABE0CA" w14:textId="77777777" w:rsidTr="005A32E0">
        <w:trPr>
          <w:trHeight w:val="3051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34A0DDE5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CRITERI DI VALUTAZIONE: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1A6D5DA1" w14:textId="77777777" w:rsidR="005A32E0" w:rsidRDefault="005A32E0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Capacità di rielaborare i contenuti acquisiti ed applicazione nella soluzione di problemi</w:t>
            </w:r>
          </w:p>
          <w:p w14:paraId="70ADAF3E" w14:textId="77777777" w:rsidR="005A32E0" w:rsidRDefault="005A32E0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Capacità di acquisire una visione chiara e generale della materia</w:t>
            </w:r>
          </w:p>
          <w:p w14:paraId="5228E1D9" w14:textId="77777777" w:rsidR="005A32E0" w:rsidRDefault="005A32E0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Grado di partecipazione alle lezioni</w:t>
            </w:r>
          </w:p>
          <w:p w14:paraId="056D1348" w14:textId="77777777" w:rsidR="005A32E0" w:rsidRDefault="005A32E0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Regolarità nello studio</w:t>
            </w:r>
          </w:p>
          <w:p w14:paraId="448975A4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Comportamento</w:t>
            </w:r>
          </w:p>
          <w:p w14:paraId="6872EF2A" w14:textId="77777777" w:rsidR="005A32E0" w:rsidRDefault="005A32E0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bCs/>
                <w:i/>
                <w:kern w:val="2"/>
                <w:sz w:val="24"/>
                <w:szCs w:val="24"/>
                <w:u w:val="single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 xml:space="preserve">Puntualità nelle consegne                                                                                                 </w:t>
            </w:r>
          </w:p>
          <w:p w14:paraId="1C4E0F41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Valutazione dei contenuti</w:t>
            </w:r>
          </w:p>
        </w:tc>
      </w:tr>
      <w:tr w:rsidR="005A32E0" w14:paraId="4D1F9138" w14:textId="77777777" w:rsidTr="005A32E0">
        <w:trPr>
          <w:trHeight w:val="1945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51DB9DB8" w14:textId="77777777" w:rsidR="005A32E0" w:rsidRDefault="005A32E0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TESTI e MATERIALI / STRUMENTI ADOTTATI: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713E6AE4" w14:textId="77777777" w:rsidR="005A32E0" w:rsidRDefault="005A32E0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Testo utilizzato: Tecniche di comunicazione nell’impresa turistico-</w:t>
            </w:r>
            <w:proofErr w:type="gram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ristorativa  di</w:t>
            </w:r>
            <w:proofErr w:type="gram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F. Cammisa  Editore: Mondadori  </w:t>
            </w:r>
          </w:p>
          <w:p w14:paraId="02979EE0" w14:textId="77777777" w:rsidR="005A32E0" w:rsidRDefault="005A32E0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Materiali prodotti e forniti dal docente</w:t>
            </w:r>
          </w:p>
          <w:p w14:paraId="0DB6962D" w14:textId="77777777" w:rsidR="005A32E0" w:rsidRDefault="005A32E0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Lim</w:t>
            </w:r>
          </w:p>
          <w:p w14:paraId="30ABE291" w14:textId="77777777" w:rsidR="005A32E0" w:rsidRDefault="005A32E0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File multimediali</w:t>
            </w:r>
          </w:p>
        </w:tc>
      </w:tr>
    </w:tbl>
    <w:p w14:paraId="4F12E231" w14:textId="77777777" w:rsidR="005A32E0" w:rsidRDefault="005A32E0" w:rsidP="005A32E0">
      <w:pPr>
        <w:spacing w:after="160" w:line="254" w:lineRule="auto"/>
        <w:rPr>
          <w:rFonts w:ascii="Arial" w:hAnsi="Arial" w:cs="Arial"/>
          <w:sz w:val="24"/>
          <w:szCs w:val="24"/>
        </w:rPr>
      </w:pPr>
    </w:p>
    <w:p w14:paraId="227C4B44" w14:textId="77777777" w:rsidR="005A32E0" w:rsidRDefault="005A32E0" w:rsidP="005A32E0">
      <w:pPr>
        <w:spacing w:after="160" w:line="25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7A5D">
        <w:rPr>
          <w:rFonts w:ascii="Arial" w:hAnsi="Arial" w:cs="Arial"/>
          <w:sz w:val="24"/>
          <w:szCs w:val="24"/>
        </w:rPr>
        <w:t>Data 03</w:t>
      </w:r>
      <w:r w:rsidR="009411AB">
        <w:rPr>
          <w:rFonts w:ascii="Arial" w:hAnsi="Arial" w:cs="Arial"/>
          <w:sz w:val="24"/>
          <w:szCs w:val="24"/>
        </w:rPr>
        <w:t>/05/2024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9411A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Prof.ssa Silvana Iacolare</w:t>
      </w:r>
    </w:p>
    <w:p w14:paraId="156044E6" w14:textId="77777777" w:rsidR="005A32E0" w:rsidRDefault="005A32E0" w:rsidP="005A32E0">
      <w:pPr>
        <w:spacing w:after="160" w:line="254" w:lineRule="auto"/>
        <w:rPr>
          <w:rFonts w:ascii="Times New Roman" w:hAnsi="Times New Roman"/>
        </w:rPr>
      </w:pPr>
      <w:r>
        <w:rPr>
          <w:rFonts w:ascii="Arial" w:hAnsi="Arial" w:cs="Arial"/>
          <w:sz w:val="24"/>
          <w:szCs w:val="24"/>
          <w:u w:val="single"/>
        </w:rPr>
        <w:t xml:space="preserve">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</w:t>
      </w:r>
    </w:p>
    <w:p w14:paraId="293FF330" w14:textId="77777777" w:rsidR="00390631" w:rsidRDefault="00390631"/>
    <w:sectPr w:rsidR="003906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517498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E0"/>
    <w:rsid w:val="002E6E1F"/>
    <w:rsid w:val="00390631"/>
    <w:rsid w:val="0046004C"/>
    <w:rsid w:val="005A32E0"/>
    <w:rsid w:val="008744AA"/>
    <w:rsid w:val="009411AB"/>
    <w:rsid w:val="009E2E8B"/>
    <w:rsid w:val="00A204C1"/>
    <w:rsid w:val="00BB487B"/>
    <w:rsid w:val="00BB6843"/>
    <w:rsid w:val="00D9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1D4D"/>
  <w15:docId w15:val="{99BAC288-3C4C-4515-AD79-0620BAE8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32E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INDICAZIONI SU DISCIPLINE</vt:lpstr>
      <vt:lpstr>    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</dc:creator>
  <cp:lastModifiedBy>Maria Luisa Di Gioia</cp:lastModifiedBy>
  <cp:revision>2</cp:revision>
  <dcterms:created xsi:type="dcterms:W3CDTF">2024-05-16T08:53:00Z</dcterms:created>
  <dcterms:modified xsi:type="dcterms:W3CDTF">2024-05-16T08:53:00Z</dcterms:modified>
</cp:coreProperties>
</file>